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300"/>
        <w:gridCol w:w="2146"/>
        <w:gridCol w:w="1674"/>
        <w:gridCol w:w="1530"/>
      </w:tblGrid>
      <w:tr w:rsidR="000F3DC8" w:rsidTr="000F3DC8">
        <w:trPr>
          <w:trHeight w:val="773"/>
          <w:jc w:val="center"/>
        </w:trPr>
        <w:tc>
          <w:tcPr>
            <w:tcW w:w="2253" w:type="dxa"/>
            <w:vAlign w:val="center"/>
          </w:tcPr>
          <w:p w:rsidR="000F3DC8" w:rsidRPr="00542EF8" w:rsidRDefault="00767D35" w:rsidP="000F3DC8">
            <w:pPr>
              <w:ind w:left="110" w:hanging="11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685925" cy="666750"/>
                  <wp:effectExtent l="19050" t="0" r="9525" b="0"/>
                  <wp:docPr id="1" name="Immagine 1" descr="Descrizione: flccgil_marchio_orizzontale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zione: flccgil_marchio_orizzontale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:rsidR="000F3DC8" w:rsidRPr="00542EF8" w:rsidRDefault="00767D35" w:rsidP="000F3DC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noProof/>
                <w:sz w:val="16"/>
                <w:szCs w:val="16"/>
              </w:rPr>
              <w:drawing>
                <wp:inline distT="0" distB="0" distL="0" distR="0">
                  <wp:extent cx="1343025" cy="600075"/>
                  <wp:effectExtent l="19050" t="0" r="9525" b="0"/>
                  <wp:docPr id="2" name="Immagine 2" descr="Descrizione: UIL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zione: UIL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vAlign w:val="center"/>
          </w:tcPr>
          <w:p w:rsidR="000F3DC8" w:rsidRPr="00542EF8" w:rsidRDefault="00767D35" w:rsidP="000F3DC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33475" cy="581025"/>
                  <wp:effectExtent l="19050" t="0" r="9525" b="0"/>
                  <wp:docPr id="3" name="Immagine 3" descr="Descrizione: SNALS Logo nuovo pi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zione: SNALS Logo nuovo pi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vAlign w:val="center"/>
          </w:tcPr>
          <w:p w:rsidR="000F3DC8" w:rsidRPr="00760888" w:rsidRDefault="00767D35" w:rsidP="000F3DC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47725" cy="847725"/>
                  <wp:effectExtent l="19050" t="0" r="9525" b="0"/>
                  <wp:docPr id="4" name="Immagine 4" descr="Descrizione: logo gilda F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zione: logo gilda F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vAlign w:val="center"/>
          </w:tcPr>
          <w:p w:rsidR="000F3DC8" w:rsidRPr="00014008" w:rsidRDefault="000F3DC8" w:rsidP="00E849A1">
            <w:pPr>
              <w:jc w:val="center"/>
            </w:pPr>
          </w:p>
        </w:tc>
      </w:tr>
      <w:tr w:rsidR="000F3DC8" w:rsidRPr="003D6AE1" w:rsidTr="000F3DC8">
        <w:trPr>
          <w:trHeight w:val="130"/>
          <w:jc w:val="center"/>
        </w:trPr>
        <w:tc>
          <w:tcPr>
            <w:tcW w:w="2253" w:type="dxa"/>
          </w:tcPr>
          <w:p w:rsidR="000F3DC8" w:rsidRPr="003D6AE1" w:rsidRDefault="000F3DC8" w:rsidP="00E849A1">
            <w:pPr>
              <w:ind w:left="110" w:hanging="1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5" w:type="dxa"/>
          </w:tcPr>
          <w:p w:rsidR="000F3DC8" w:rsidRPr="003D6AE1" w:rsidRDefault="000F3DC8" w:rsidP="00E849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</w:tcPr>
          <w:p w:rsidR="000F3DC8" w:rsidRPr="003D6AE1" w:rsidRDefault="000F3DC8" w:rsidP="00E849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</w:tcPr>
          <w:p w:rsidR="000F3DC8" w:rsidRPr="003D6AE1" w:rsidRDefault="000F3DC8" w:rsidP="00E849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9" w:type="dxa"/>
          </w:tcPr>
          <w:p w:rsidR="000F3DC8" w:rsidRPr="003D6AE1" w:rsidRDefault="000F3DC8" w:rsidP="00E849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3DC8" w:rsidRPr="00157F1E" w:rsidTr="000F3DC8">
        <w:trPr>
          <w:trHeight w:val="231"/>
          <w:jc w:val="center"/>
        </w:trPr>
        <w:tc>
          <w:tcPr>
            <w:tcW w:w="2253" w:type="dxa"/>
          </w:tcPr>
          <w:p w:rsidR="000F3DC8" w:rsidRPr="00157F1E" w:rsidRDefault="000F3DC8" w:rsidP="00E849A1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5" w:type="dxa"/>
          </w:tcPr>
          <w:p w:rsidR="000F3DC8" w:rsidRPr="00157F1E" w:rsidRDefault="000F3DC8" w:rsidP="00E849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49" w:type="dxa"/>
          </w:tcPr>
          <w:p w:rsidR="000F3DC8" w:rsidRPr="00157F1E" w:rsidRDefault="000F3DC8" w:rsidP="00BE292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64" w:type="dxa"/>
          </w:tcPr>
          <w:p w:rsidR="000F3DC8" w:rsidRPr="00157F1E" w:rsidRDefault="000F3DC8" w:rsidP="00E849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39" w:type="dxa"/>
          </w:tcPr>
          <w:p w:rsidR="000F3DC8" w:rsidRPr="00157F1E" w:rsidRDefault="000F3DC8" w:rsidP="00E849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2926" w:rsidRDefault="00BE2926" w:rsidP="00BE2926">
      <w:pPr>
        <w:jc w:val="center"/>
      </w:pPr>
    </w:p>
    <w:p w:rsidR="00DA6FBB" w:rsidRPr="000B5B13" w:rsidRDefault="00BE2926" w:rsidP="000B5B13">
      <w:pPr>
        <w:jc w:val="center"/>
        <w:rPr>
          <w:rFonts w:ascii="Arial Black" w:hAnsi="Arial Black" w:cs="Aharoni"/>
          <w:color w:val="F80819"/>
          <w:sz w:val="24"/>
          <w:szCs w:val="24"/>
        </w:rPr>
      </w:pPr>
      <w:r w:rsidRPr="00BE2926">
        <w:rPr>
          <w:rFonts w:ascii="Arial Black" w:hAnsi="Arial Black" w:cs="Aharoni"/>
          <w:color w:val="F80819"/>
          <w:sz w:val="24"/>
          <w:szCs w:val="24"/>
        </w:rPr>
        <w:t xml:space="preserve">SEGRETERIE </w:t>
      </w:r>
      <w:r w:rsidR="000F3DC8">
        <w:rPr>
          <w:rFonts w:ascii="Arial Black" w:hAnsi="Arial Black" w:cs="Aharoni"/>
          <w:color w:val="F80819"/>
          <w:sz w:val="24"/>
          <w:szCs w:val="24"/>
        </w:rPr>
        <w:t>PROVINCIA DELL’AQUILA</w:t>
      </w:r>
    </w:p>
    <w:p w:rsidR="00773B84" w:rsidRDefault="00773B84" w:rsidP="00773B8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 Dirigenti Scolastici</w:t>
      </w:r>
    </w:p>
    <w:p w:rsidR="00773B84" w:rsidRDefault="00773B84" w:rsidP="00773B8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Istituti della provincia </w:t>
      </w:r>
      <w:r w:rsidR="000F3DC8">
        <w:rPr>
          <w:rFonts w:ascii="Times New Roman" w:hAnsi="Times New Roman" w:cs="Times New Roman"/>
          <w:b/>
        </w:rPr>
        <w:t>dell’Aquila</w:t>
      </w:r>
    </w:p>
    <w:p w:rsidR="000F3DC8" w:rsidRDefault="000F3DC8" w:rsidP="00773B8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Sedi</w:t>
      </w:r>
    </w:p>
    <w:p w:rsidR="006D0FE1" w:rsidRDefault="006D0FE1" w:rsidP="006D0FE1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color w:val="000000"/>
          <w:sz w:val="28"/>
          <w:szCs w:val="28"/>
        </w:rPr>
      </w:pPr>
    </w:p>
    <w:p w:rsidR="006D0FE1" w:rsidRPr="000044F8" w:rsidRDefault="006D0FE1" w:rsidP="006D0FE1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b/>
          <w:color w:val="000000"/>
          <w:sz w:val="24"/>
          <w:szCs w:val="24"/>
        </w:rPr>
      </w:pPr>
      <w:r w:rsidRPr="000044F8">
        <w:rPr>
          <w:color w:val="000000"/>
          <w:sz w:val="24"/>
          <w:szCs w:val="24"/>
        </w:rPr>
        <w:t xml:space="preserve">Oggetto: Convocazione </w:t>
      </w:r>
      <w:r w:rsidRPr="000044F8">
        <w:rPr>
          <w:b/>
          <w:color w:val="000000"/>
          <w:sz w:val="24"/>
          <w:szCs w:val="24"/>
        </w:rPr>
        <w:t>assemble</w:t>
      </w:r>
      <w:r w:rsidR="000044F8" w:rsidRPr="000044F8">
        <w:rPr>
          <w:b/>
          <w:color w:val="000000"/>
          <w:sz w:val="24"/>
          <w:szCs w:val="24"/>
        </w:rPr>
        <w:t>e</w:t>
      </w:r>
      <w:r w:rsidRPr="000044F8">
        <w:rPr>
          <w:b/>
          <w:color w:val="000000"/>
          <w:sz w:val="24"/>
          <w:szCs w:val="24"/>
        </w:rPr>
        <w:t xml:space="preserve"> sindacal</w:t>
      </w:r>
      <w:r w:rsidR="000044F8" w:rsidRPr="000044F8">
        <w:rPr>
          <w:b/>
          <w:color w:val="000000"/>
          <w:sz w:val="24"/>
          <w:szCs w:val="24"/>
        </w:rPr>
        <w:t>i</w:t>
      </w:r>
      <w:r w:rsidRPr="000044F8">
        <w:rPr>
          <w:b/>
          <w:color w:val="000000"/>
          <w:sz w:val="24"/>
          <w:szCs w:val="24"/>
        </w:rPr>
        <w:t xml:space="preserve"> </w:t>
      </w:r>
      <w:r w:rsidR="000044F8" w:rsidRPr="000044F8">
        <w:rPr>
          <w:b/>
          <w:color w:val="000000"/>
          <w:sz w:val="24"/>
          <w:szCs w:val="24"/>
        </w:rPr>
        <w:t xml:space="preserve">territoriali </w:t>
      </w:r>
      <w:r w:rsidRPr="000044F8">
        <w:rPr>
          <w:b/>
          <w:color w:val="000000"/>
          <w:sz w:val="24"/>
          <w:szCs w:val="24"/>
        </w:rPr>
        <w:t>in orario di servizio (art. 23 CCNL 2018)</w:t>
      </w:r>
    </w:p>
    <w:p w:rsidR="000B5B13" w:rsidRPr="000B5B13" w:rsidRDefault="006D0FE1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color w:val="000000"/>
          <w:sz w:val="24"/>
          <w:szCs w:val="24"/>
        </w:rPr>
      </w:pPr>
      <w:r w:rsidRPr="000B5B13">
        <w:rPr>
          <w:color w:val="000000"/>
          <w:sz w:val="24"/>
          <w:szCs w:val="24"/>
        </w:rPr>
        <w:t xml:space="preserve">Le scriventi </w:t>
      </w:r>
      <w:r w:rsidR="003C3009" w:rsidRPr="000B5B13">
        <w:rPr>
          <w:color w:val="000000"/>
          <w:sz w:val="24"/>
          <w:szCs w:val="24"/>
        </w:rPr>
        <w:t xml:space="preserve">OO.SS. </w:t>
      </w:r>
      <w:r w:rsidR="000F3DC8">
        <w:rPr>
          <w:color w:val="000000"/>
          <w:sz w:val="24"/>
          <w:szCs w:val="24"/>
        </w:rPr>
        <w:t>provinciali</w:t>
      </w:r>
      <w:r w:rsidR="003C3009" w:rsidRPr="000B5B13">
        <w:rPr>
          <w:color w:val="000000"/>
          <w:sz w:val="24"/>
          <w:szCs w:val="24"/>
        </w:rPr>
        <w:t xml:space="preserve">, considerate le </w:t>
      </w:r>
      <w:r w:rsidR="000044F8" w:rsidRPr="000B5B13">
        <w:rPr>
          <w:color w:val="000000"/>
          <w:sz w:val="24"/>
          <w:szCs w:val="24"/>
        </w:rPr>
        <w:t>diverse</w:t>
      </w:r>
      <w:r w:rsidR="003C3009" w:rsidRPr="000B5B13">
        <w:rPr>
          <w:color w:val="000000"/>
          <w:sz w:val="24"/>
          <w:szCs w:val="24"/>
        </w:rPr>
        <w:t xml:space="preserve"> problematiche che riguardano la fine dell’anno scolastico in corso e la prossima riapertura, vista </w:t>
      </w:r>
      <w:r w:rsidR="003C3009" w:rsidRPr="000B5B13">
        <w:rPr>
          <w:b/>
          <w:color w:val="000000"/>
          <w:sz w:val="24"/>
          <w:szCs w:val="24"/>
        </w:rPr>
        <w:t>la mobilitazione nazionale indetta per la giornata del 13 maggio dalle rispettive segreterie nazionali</w:t>
      </w:r>
      <w:r w:rsidR="003C3009" w:rsidRPr="000B5B13">
        <w:rPr>
          <w:color w:val="000000"/>
          <w:sz w:val="24"/>
          <w:szCs w:val="24"/>
        </w:rPr>
        <w:t xml:space="preserve">, che </w:t>
      </w:r>
      <w:r w:rsidR="008F39F8">
        <w:rPr>
          <w:color w:val="000000"/>
          <w:sz w:val="24"/>
          <w:szCs w:val="24"/>
        </w:rPr>
        <w:t>prev</w:t>
      </w:r>
      <w:r w:rsidR="0002219B">
        <w:rPr>
          <w:color w:val="000000"/>
          <w:sz w:val="24"/>
          <w:szCs w:val="24"/>
        </w:rPr>
        <w:t>ede lo svolgimento di</w:t>
      </w:r>
      <w:r w:rsidR="003C3009" w:rsidRPr="000B5B13">
        <w:rPr>
          <w:color w:val="000000"/>
          <w:sz w:val="24"/>
          <w:szCs w:val="24"/>
        </w:rPr>
        <w:t xml:space="preserve"> assemblee unitarie in contemporanea in tutto il paese, </w:t>
      </w:r>
      <w:r w:rsidR="000044F8" w:rsidRPr="000B5B13">
        <w:rPr>
          <w:color w:val="000000"/>
          <w:sz w:val="24"/>
          <w:szCs w:val="24"/>
        </w:rPr>
        <w:t xml:space="preserve">convocano </w:t>
      </w:r>
      <w:r w:rsidR="000F3DC8">
        <w:rPr>
          <w:color w:val="000000"/>
          <w:sz w:val="24"/>
          <w:szCs w:val="24"/>
        </w:rPr>
        <w:t xml:space="preserve">due assemblee </w:t>
      </w:r>
      <w:r w:rsidR="000044F8" w:rsidRPr="000B5B13">
        <w:rPr>
          <w:color w:val="000000"/>
          <w:sz w:val="24"/>
          <w:szCs w:val="24"/>
        </w:rPr>
        <w:t>sindacal</w:t>
      </w:r>
      <w:r w:rsidR="000F3DC8">
        <w:rPr>
          <w:color w:val="000000"/>
          <w:sz w:val="24"/>
          <w:szCs w:val="24"/>
        </w:rPr>
        <w:t>i provinciale</w:t>
      </w:r>
      <w:r w:rsidRPr="000B5B13">
        <w:rPr>
          <w:color w:val="000000"/>
          <w:sz w:val="24"/>
          <w:szCs w:val="24"/>
        </w:rPr>
        <w:t xml:space="preserve"> per il personale docente, educativo ed ATA in servizio negli Istituti Scolastici  dell</w:t>
      </w:r>
      <w:r w:rsidR="000044F8" w:rsidRPr="000B5B13">
        <w:rPr>
          <w:color w:val="000000"/>
          <w:sz w:val="24"/>
          <w:szCs w:val="24"/>
        </w:rPr>
        <w:t>e province</w:t>
      </w:r>
      <w:r w:rsidR="000F3DC8">
        <w:rPr>
          <w:color w:val="000000"/>
          <w:sz w:val="24"/>
          <w:szCs w:val="24"/>
        </w:rPr>
        <w:t xml:space="preserve"> dell’Aquila </w:t>
      </w:r>
      <w:r w:rsidRPr="000B5B13">
        <w:rPr>
          <w:color w:val="000000"/>
          <w:sz w:val="24"/>
          <w:szCs w:val="24"/>
        </w:rPr>
        <w:t>con il seguente ordine del giorno:</w:t>
      </w:r>
      <w:r w:rsidR="003C3009" w:rsidRPr="000B5B13">
        <w:rPr>
          <w:color w:val="000000"/>
          <w:sz w:val="24"/>
          <w:szCs w:val="24"/>
        </w:rPr>
        <w:t xml:space="preserve"> </w:t>
      </w:r>
    </w:p>
    <w:p w:rsidR="006D0FE1" w:rsidRPr="000B5B13" w:rsidRDefault="003C3009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i/>
          <w:color w:val="000000"/>
          <w:sz w:val="24"/>
          <w:szCs w:val="24"/>
        </w:rPr>
      </w:pPr>
      <w:r w:rsidRPr="000B5B13">
        <w:rPr>
          <w:i/>
          <w:color w:val="000000"/>
          <w:sz w:val="24"/>
          <w:szCs w:val="24"/>
        </w:rPr>
        <w:t>- protocollo sulla sicurezza e la tutela della salute dei lavoratori della scuola;</w:t>
      </w:r>
    </w:p>
    <w:p w:rsidR="003C3009" w:rsidRPr="000B5B13" w:rsidRDefault="003C3009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i/>
          <w:color w:val="000000"/>
          <w:sz w:val="24"/>
          <w:szCs w:val="24"/>
        </w:rPr>
      </w:pPr>
      <w:r w:rsidRPr="000B5B13">
        <w:rPr>
          <w:i/>
          <w:color w:val="000000"/>
          <w:sz w:val="24"/>
          <w:szCs w:val="24"/>
        </w:rPr>
        <w:t>- Didattica a distanza: criticità e limiti;</w:t>
      </w:r>
    </w:p>
    <w:p w:rsidR="000044F8" w:rsidRPr="000B5B13" w:rsidRDefault="003C3009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i/>
          <w:color w:val="000000"/>
          <w:sz w:val="24"/>
          <w:szCs w:val="24"/>
        </w:rPr>
      </w:pPr>
      <w:r w:rsidRPr="000B5B13">
        <w:rPr>
          <w:i/>
          <w:color w:val="000000"/>
          <w:sz w:val="24"/>
          <w:szCs w:val="24"/>
        </w:rPr>
        <w:t>- Organici, precariato e stabilizzazioni</w:t>
      </w:r>
    </w:p>
    <w:tbl>
      <w:tblPr>
        <w:tblW w:w="83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3119"/>
        <w:gridCol w:w="2828"/>
      </w:tblGrid>
      <w:tr w:rsidR="000044F8" w:rsidRPr="000B5B13" w:rsidTr="000044F8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044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044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Scuole interessate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0044F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Orario </w:t>
            </w:r>
          </w:p>
        </w:tc>
      </w:tr>
      <w:tr w:rsidR="000044F8" w:rsidRPr="000B5B13" w:rsidTr="000044F8">
        <w:trPr>
          <w:trHeight w:val="255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044F8" w:rsidRPr="000B5B13" w:rsidTr="000044F8">
        <w:trPr>
          <w:trHeight w:val="72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mercoledì</w:t>
            </w:r>
          </w:p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13/05/2020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F8" w:rsidRPr="000044F8" w:rsidRDefault="000F3DC8" w:rsidP="000F3DC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Scuole dell’Infanzia e Scuole primarie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F8" w:rsidRPr="000044F8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044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08,</w:t>
            </w:r>
            <w:r w:rsidR="000F3D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0F3D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0044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10,3</w:t>
            </w:r>
            <w:r w:rsidRPr="000044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44F8" w:rsidRPr="000B5B13" w:rsidTr="000044F8">
        <w:trPr>
          <w:trHeight w:val="728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4F8" w:rsidRPr="000B5B13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mercoledì</w:t>
            </w:r>
          </w:p>
          <w:p w:rsidR="000044F8" w:rsidRPr="000B5B13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13/05/2020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F8" w:rsidRPr="000B5B13" w:rsidRDefault="000F3DC8" w:rsidP="000F3DC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Scuole secondarie di I e II grado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4F8" w:rsidRPr="000B5B13" w:rsidRDefault="000044F8" w:rsidP="000044F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B5B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11,00 – 13,</w:t>
            </w:r>
            <w:r w:rsidR="000F3DC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A239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44F8" w:rsidRPr="000B5B13" w:rsidRDefault="000044F8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i/>
          <w:color w:val="000000"/>
          <w:sz w:val="24"/>
          <w:szCs w:val="24"/>
        </w:rPr>
      </w:pPr>
    </w:p>
    <w:p w:rsidR="006F551D" w:rsidRDefault="000044F8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color w:val="000000"/>
          <w:sz w:val="24"/>
          <w:szCs w:val="24"/>
        </w:rPr>
      </w:pPr>
      <w:r w:rsidRPr="000B5B13">
        <w:rPr>
          <w:color w:val="000000"/>
          <w:sz w:val="24"/>
          <w:szCs w:val="24"/>
        </w:rPr>
        <w:t xml:space="preserve">Le assemblee si svolgeranno in modalità </w:t>
      </w:r>
      <w:r w:rsidRPr="0002219B">
        <w:rPr>
          <w:b/>
          <w:color w:val="000000"/>
          <w:sz w:val="24"/>
          <w:szCs w:val="24"/>
        </w:rPr>
        <w:t>videoconferenza</w:t>
      </w:r>
      <w:r w:rsidRPr="000B5B13">
        <w:rPr>
          <w:color w:val="000000"/>
          <w:sz w:val="24"/>
          <w:szCs w:val="24"/>
        </w:rPr>
        <w:t xml:space="preserve"> utilizzando la piattaforma Google </w:t>
      </w:r>
      <w:proofErr w:type="spellStart"/>
      <w:r w:rsidRPr="000B5B13">
        <w:rPr>
          <w:color w:val="000000"/>
          <w:sz w:val="24"/>
          <w:szCs w:val="24"/>
        </w:rPr>
        <w:t>Meet</w:t>
      </w:r>
      <w:proofErr w:type="spellEnd"/>
      <w:r w:rsidRPr="000B5B13">
        <w:rPr>
          <w:color w:val="000000"/>
          <w:sz w:val="24"/>
          <w:szCs w:val="24"/>
        </w:rPr>
        <w:t xml:space="preserve">. </w:t>
      </w:r>
    </w:p>
    <w:p w:rsidR="0068748E" w:rsidRDefault="0068748E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color w:val="000000"/>
          <w:sz w:val="24"/>
          <w:szCs w:val="24"/>
        </w:rPr>
      </w:pPr>
      <w:r w:rsidRPr="0068748E">
        <w:rPr>
          <w:color w:val="000000"/>
          <w:sz w:val="24"/>
          <w:szCs w:val="24"/>
        </w:rPr>
        <w:t>Il personale interessato per partecipare dovrà cliccare il seguente link</w:t>
      </w:r>
      <w:r>
        <w:rPr>
          <w:color w:val="000000"/>
          <w:sz w:val="24"/>
          <w:szCs w:val="24"/>
        </w:rPr>
        <w:t xml:space="preserve">: </w:t>
      </w:r>
    </w:p>
    <w:p w:rsidR="0068748E" w:rsidRPr="0068748E" w:rsidRDefault="0068748E" w:rsidP="0068748E">
      <w:pPr>
        <w:tabs>
          <w:tab w:val="left" w:pos="2060"/>
          <w:tab w:val="right" w:pos="9694"/>
        </w:tabs>
        <w:spacing w:line="360" w:lineRule="auto"/>
        <w:ind w:right="-57"/>
        <w:jc w:val="center"/>
        <w:rPr>
          <w:color w:val="000000"/>
          <w:sz w:val="32"/>
          <w:szCs w:val="32"/>
        </w:rPr>
      </w:pPr>
      <w:r w:rsidRPr="0068748E">
        <w:rPr>
          <w:color w:val="000000"/>
          <w:sz w:val="32"/>
          <w:szCs w:val="32"/>
        </w:rPr>
        <w:t>https://meet.google.com/oxi-jqkf-ozu</w:t>
      </w:r>
    </w:p>
    <w:p w:rsidR="000B5B13" w:rsidRPr="000B5B13" w:rsidRDefault="000B5B13" w:rsidP="003C3009">
      <w:pPr>
        <w:tabs>
          <w:tab w:val="left" w:pos="2060"/>
          <w:tab w:val="right" w:pos="9694"/>
        </w:tabs>
        <w:spacing w:line="360" w:lineRule="auto"/>
        <w:ind w:right="-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Si  invitano</w:t>
      </w:r>
      <w:proofErr w:type="gramEnd"/>
      <w:r>
        <w:rPr>
          <w:color w:val="000000"/>
          <w:sz w:val="24"/>
          <w:szCs w:val="24"/>
        </w:rPr>
        <w:t xml:space="preserve"> i Dirigenti scolastici a informare tutti i lavoratori dell’indizione dell’assemblea sindacale, tramite i canali usualmente utilizzati per le comunicazioni al personale (mail, sito, albo sindacale on line).</w:t>
      </w:r>
      <w:r w:rsidR="0002219B">
        <w:rPr>
          <w:color w:val="000000"/>
          <w:sz w:val="24"/>
          <w:szCs w:val="24"/>
        </w:rPr>
        <w:t xml:space="preserve"> </w:t>
      </w:r>
    </w:p>
    <w:p w:rsidR="0068748E" w:rsidRDefault="0002219B" w:rsidP="000F3DC8">
      <w:pPr>
        <w:tabs>
          <w:tab w:val="left" w:pos="2060"/>
          <w:tab w:val="right" w:pos="9694"/>
        </w:tabs>
        <w:spacing w:line="360" w:lineRule="auto"/>
        <w:ind w:right="-5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 ringrazia per la consueta disponibilità</w:t>
      </w:r>
    </w:p>
    <w:p w:rsidR="0068748E" w:rsidRDefault="0068748E" w:rsidP="000F3DC8">
      <w:pPr>
        <w:tabs>
          <w:tab w:val="left" w:pos="2060"/>
          <w:tab w:val="right" w:pos="9694"/>
        </w:tabs>
        <w:spacing w:line="360" w:lineRule="auto"/>
        <w:ind w:right="-57"/>
        <w:jc w:val="righ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02"/>
        <w:gridCol w:w="2412"/>
        <w:gridCol w:w="2407"/>
        <w:gridCol w:w="2407"/>
      </w:tblGrid>
      <w:tr w:rsidR="0068748E" w:rsidRPr="0068748E" w:rsidTr="0068748E">
        <w:trPr>
          <w:jc w:val="center"/>
        </w:trPr>
        <w:tc>
          <w:tcPr>
            <w:tcW w:w="2444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8748E">
              <w:rPr>
                <w:b/>
                <w:sz w:val="24"/>
                <w:szCs w:val="24"/>
              </w:rPr>
              <w:t>FLC CGIL</w:t>
            </w:r>
          </w:p>
        </w:tc>
        <w:tc>
          <w:tcPr>
            <w:tcW w:w="2444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8748E">
              <w:rPr>
                <w:b/>
                <w:sz w:val="24"/>
                <w:szCs w:val="24"/>
              </w:rPr>
              <w:t>UIL SCUOLA</w:t>
            </w:r>
          </w:p>
        </w:tc>
        <w:tc>
          <w:tcPr>
            <w:tcW w:w="2445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8748E">
              <w:rPr>
                <w:b/>
                <w:sz w:val="24"/>
                <w:szCs w:val="24"/>
              </w:rPr>
              <w:t xml:space="preserve">SNALS </w:t>
            </w:r>
            <w:proofErr w:type="spellStart"/>
            <w:r w:rsidRPr="0068748E">
              <w:rPr>
                <w:b/>
                <w:sz w:val="24"/>
                <w:szCs w:val="24"/>
              </w:rPr>
              <w:t>Confsal</w:t>
            </w:r>
            <w:proofErr w:type="spellEnd"/>
            <w:r w:rsidRPr="006874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right"/>
              <w:rPr>
                <w:b/>
                <w:sz w:val="24"/>
                <w:szCs w:val="24"/>
              </w:rPr>
            </w:pPr>
            <w:r w:rsidRPr="0068748E">
              <w:rPr>
                <w:b/>
                <w:sz w:val="24"/>
                <w:szCs w:val="24"/>
              </w:rPr>
              <w:t xml:space="preserve">GILDA </w:t>
            </w:r>
            <w:proofErr w:type="spellStart"/>
            <w:r w:rsidRPr="0068748E">
              <w:rPr>
                <w:b/>
                <w:sz w:val="24"/>
                <w:szCs w:val="24"/>
              </w:rPr>
              <w:t>Unams</w:t>
            </w:r>
            <w:proofErr w:type="spellEnd"/>
            <w:r w:rsidRPr="0068748E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68748E" w:rsidRPr="0068748E" w:rsidTr="0068748E">
        <w:trPr>
          <w:jc w:val="center"/>
        </w:trPr>
        <w:tc>
          <w:tcPr>
            <w:tcW w:w="2444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sz w:val="18"/>
                <w:szCs w:val="18"/>
              </w:rPr>
            </w:pPr>
            <w:r w:rsidRPr="0068748E">
              <w:rPr>
                <w:sz w:val="18"/>
                <w:szCs w:val="18"/>
              </w:rPr>
              <w:t>Miriam Anna Del Biondo</w:t>
            </w:r>
          </w:p>
        </w:tc>
        <w:tc>
          <w:tcPr>
            <w:tcW w:w="2444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sz w:val="18"/>
                <w:szCs w:val="18"/>
              </w:rPr>
            </w:pPr>
            <w:r w:rsidRPr="0068748E">
              <w:rPr>
                <w:sz w:val="18"/>
                <w:szCs w:val="18"/>
              </w:rPr>
              <w:t xml:space="preserve">Maria </w:t>
            </w:r>
            <w:proofErr w:type="spellStart"/>
            <w:r w:rsidRPr="0068748E">
              <w:rPr>
                <w:sz w:val="18"/>
                <w:szCs w:val="18"/>
              </w:rPr>
              <w:t>Gracia</w:t>
            </w:r>
            <w:proofErr w:type="spellEnd"/>
            <w:r w:rsidRPr="0068748E">
              <w:rPr>
                <w:sz w:val="18"/>
                <w:szCs w:val="18"/>
              </w:rPr>
              <w:t xml:space="preserve"> </w:t>
            </w:r>
            <w:proofErr w:type="spellStart"/>
            <w:r w:rsidRPr="0068748E">
              <w:rPr>
                <w:sz w:val="18"/>
                <w:szCs w:val="18"/>
              </w:rPr>
              <w:t>Commito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sz w:val="18"/>
                <w:szCs w:val="18"/>
              </w:rPr>
            </w:pPr>
            <w:r w:rsidRPr="0068748E">
              <w:rPr>
                <w:sz w:val="18"/>
                <w:szCs w:val="18"/>
              </w:rPr>
              <w:t>Rosaria Lupi</w:t>
            </w:r>
          </w:p>
        </w:tc>
        <w:tc>
          <w:tcPr>
            <w:tcW w:w="2445" w:type="dxa"/>
            <w:shd w:val="clear" w:color="auto" w:fill="auto"/>
          </w:tcPr>
          <w:p w:rsidR="0068748E" w:rsidRPr="0068748E" w:rsidRDefault="0068748E" w:rsidP="0068748E">
            <w:pPr>
              <w:tabs>
                <w:tab w:val="left" w:pos="2060"/>
                <w:tab w:val="right" w:pos="9694"/>
              </w:tabs>
              <w:spacing w:line="360" w:lineRule="auto"/>
              <w:ind w:right="-57"/>
              <w:jc w:val="center"/>
              <w:rPr>
                <w:sz w:val="18"/>
                <w:szCs w:val="18"/>
              </w:rPr>
            </w:pPr>
            <w:r w:rsidRPr="0068748E">
              <w:rPr>
                <w:sz w:val="18"/>
                <w:szCs w:val="18"/>
              </w:rPr>
              <w:t>Claudio Di Cesare</w:t>
            </w:r>
          </w:p>
        </w:tc>
      </w:tr>
    </w:tbl>
    <w:p w:rsidR="000C79B8" w:rsidRDefault="000C79B8" w:rsidP="000F3DC8">
      <w:pPr>
        <w:tabs>
          <w:tab w:val="left" w:pos="2060"/>
          <w:tab w:val="right" w:pos="9694"/>
        </w:tabs>
        <w:spacing w:line="360" w:lineRule="auto"/>
        <w:ind w:right="-57"/>
        <w:jc w:val="right"/>
        <w:rPr>
          <w:b/>
          <w:sz w:val="24"/>
          <w:szCs w:val="24"/>
        </w:rPr>
      </w:pPr>
    </w:p>
    <w:sectPr w:rsidR="000C79B8" w:rsidSect="00103593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8DC"/>
    <w:multiLevelType w:val="hybridMultilevel"/>
    <w:tmpl w:val="8E54B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6A65"/>
    <w:multiLevelType w:val="hybridMultilevel"/>
    <w:tmpl w:val="DFAA222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8AA5501"/>
    <w:multiLevelType w:val="hybridMultilevel"/>
    <w:tmpl w:val="BBEE4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6"/>
    <w:rsid w:val="000044F8"/>
    <w:rsid w:val="00017A89"/>
    <w:rsid w:val="0002219B"/>
    <w:rsid w:val="0002714C"/>
    <w:rsid w:val="00033D15"/>
    <w:rsid w:val="000557B5"/>
    <w:rsid w:val="00057670"/>
    <w:rsid w:val="000930EB"/>
    <w:rsid w:val="000B1C1C"/>
    <w:rsid w:val="000B3B08"/>
    <w:rsid w:val="000B5B13"/>
    <w:rsid w:val="000C79B8"/>
    <w:rsid w:val="000D1853"/>
    <w:rsid w:val="000D4DA0"/>
    <w:rsid w:val="000F3DC8"/>
    <w:rsid w:val="00103593"/>
    <w:rsid w:val="00106991"/>
    <w:rsid w:val="00185B67"/>
    <w:rsid w:val="00186C59"/>
    <w:rsid w:val="00210C85"/>
    <w:rsid w:val="0021464A"/>
    <w:rsid w:val="0024213A"/>
    <w:rsid w:val="002608F3"/>
    <w:rsid w:val="00284D91"/>
    <w:rsid w:val="00285544"/>
    <w:rsid w:val="002A227B"/>
    <w:rsid w:val="002D3F6F"/>
    <w:rsid w:val="002D59DF"/>
    <w:rsid w:val="002E462A"/>
    <w:rsid w:val="002F48F7"/>
    <w:rsid w:val="002F5CF4"/>
    <w:rsid w:val="003006FD"/>
    <w:rsid w:val="0030479C"/>
    <w:rsid w:val="00315EE4"/>
    <w:rsid w:val="00323186"/>
    <w:rsid w:val="003341AF"/>
    <w:rsid w:val="00335B80"/>
    <w:rsid w:val="0036708A"/>
    <w:rsid w:val="00383DE2"/>
    <w:rsid w:val="003953C2"/>
    <w:rsid w:val="003B20F2"/>
    <w:rsid w:val="003B6BEE"/>
    <w:rsid w:val="003C3009"/>
    <w:rsid w:val="003C45A9"/>
    <w:rsid w:val="003D2AF1"/>
    <w:rsid w:val="003E468D"/>
    <w:rsid w:val="003F45B4"/>
    <w:rsid w:val="003F6D41"/>
    <w:rsid w:val="00413537"/>
    <w:rsid w:val="00431B4C"/>
    <w:rsid w:val="00453376"/>
    <w:rsid w:val="00455430"/>
    <w:rsid w:val="0046659A"/>
    <w:rsid w:val="004704D4"/>
    <w:rsid w:val="00480B68"/>
    <w:rsid w:val="00486E53"/>
    <w:rsid w:val="00494063"/>
    <w:rsid w:val="004F3528"/>
    <w:rsid w:val="004F709E"/>
    <w:rsid w:val="004F7985"/>
    <w:rsid w:val="005209D5"/>
    <w:rsid w:val="00525F6C"/>
    <w:rsid w:val="0053538B"/>
    <w:rsid w:val="00553E17"/>
    <w:rsid w:val="0056284D"/>
    <w:rsid w:val="00564546"/>
    <w:rsid w:val="00567E63"/>
    <w:rsid w:val="00590DAC"/>
    <w:rsid w:val="005A37E7"/>
    <w:rsid w:val="005B6044"/>
    <w:rsid w:val="005C08B0"/>
    <w:rsid w:val="005F23BF"/>
    <w:rsid w:val="00614945"/>
    <w:rsid w:val="006170DB"/>
    <w:rsid w:val="00636C1A"/>
    <w:rsid w:val="00640079"/>
    <w:rsid w:val="00650BAA"/>
    <w:rsid w:val="0068748E"/>
    <w:rsid w:val="00696C6D"/>
    <w:rsid w:val="006C7059"/>
    <w:rsid w:val="006D0FE1"/>
    <w:rsid w:val="006D2FFF"/>
    <w:rsid w:val="006D483F"/>
    <w:rsid w:val="006D5E6A"/>
    <w:rsid w:val="006E22C1"/>
    <w:rsid w:val="006E758C"/>
    <w:rsid w:val="006F551D"/>
    <w:rsid w:val="0071392D"/>
    <w:rsid w:val="00767D35"/>
    <w:rsid w:val="00773B84"/>
    <w:rsid w:val="007A6A77"/>
    <w:rsid w:val="007B0EDF"/>
    <w:rsid w:val="007C645F"/>
    <w:rsid w:val="007C68B1"/>
    <w:rsid w:val="007D6E14"/>
    <w:rsid w:val="00821935"/>
    <w:rsid w:val="0082738F"/>
    <w:rsid w:val="00882127"/>
    <w:rsid w:val="008A6995"/>
    <w:rsid w:val="008B44E5"/>
    <w:rsid w:val="008C6396"/>
    <w:rsid w:val="008C7495"/>
    <w:rsid w:val="008D7298"/>
    <w:rsid w:val="008F39F8"/>
    <w:rsid w:val="008F5C68"/>
    <w:rsid w:val="0093639E"/>
    <w:rsid w:val="00941F0F"/>
    <w:rsid w:val="00943576"/>
    <w:rsid w:val="00944838"/>
    <w:rsid w:val="0095594D"/>
    <w:rsid w:val="0096085C"/>
    <w:rsid w:val="009764B4"/>
    <w:rsid w:val="009A255F"/>
    <w:rsid w:val="009A46D7"/>
    <w:rsid w:val="009D253C"/>
    <w:rsid w:val="009D7751"/>
    <w:rsid w:val="00A0717F"/>
    <w:rsid w:val="00A23968"/>
    <w:rsid w:val="00A23F12"/>
    <w:rsid w:val="00A37D56"/>
    <w:rsid w:val="00A42CFD"/>
    <w:rsid w:val="00A43767"/>
    <w:rsid w:val="00A549D7"/>
    <w:rsid w:val="00A67686"/>
    <w:rsid w:val="00A80A92"/>
    <w:rsid w:val="00A87DEF"/>
    <w:rsid w:val="00AA28FD"/>
    <w:rsid w:val="00AA66E2"/>
    <w:rsid w:val="00AB404D"/>
    <w:rsid w:val="00AD4664"/>
    <w:rsid w:val="00AD5F7A"/>
    <w:rsid w:val="00AE2881"/>
    <w:rsid w:val="00AF3689"/>
    <w:rsid w:val="00AF4692"/>
    <w:rsid w:val="00AF4A9B"/>
    <w:rsid w:val="00B01E04"/>
    <w:rsid w:val="00B160F7"/>
    <w:rsid w:val="00B32A52"/>
    <w:rsid w:val="00B50975"/>
    <w:rsid w:val="00B701D3"/>
    <w:rsid w:val="00B76A2D"/>
    <w:rsid w:val="00BA19C4"/>
    <w:rsid w:val="00BB441A"/>
    <w:rsid w:val="00BD4A37"/>
    <w:rsid w:val="00BE2926"/>
    <w:rsid w:val="00C25C8A"/>
    <w:rsid w:val="00C277F0"/>
    <w:rsid w:val="00C303A6"/>
    <w:rsid w:val="00C44ECA"/>
    <w:rsid w:val="00C45294"/>
    <w:rsid w:val="00C651E1"/>
    <w:rsid w:val="00C734A8"/>
    <w:rsid w:val="00C94CAF"/>
    <w:rsid w:val="00C9588F"/>
    <w:rsid w:val="00CB5CBD"/>
    <w:rsid w:val="00D038CF"/>
    <w:rsid w:val="00D07AE9"/>
    <w:rsid w:val="00D37DEE"/>
    <w:rsid w:val="00D46B1F"/>
    <w:rsid w:val="00D507D6"/>
    <w:rsid w:val="00D6286A"/>
    <w:rsid w:val="00D74815"/>
    <w:rsid w:val="00D75BC0"/>
    <w:rsid w:val="00D76257"/>
    <w:rsid w:val="00D8063A"/>
    <w:rsid w:val="00D938CC"/>
    <w:rsid w:val="00DA6FBB"/>
    <w:rsid w:val="00DC63A3"/>
    <w:rsid w:val="00DE6E88"/>
    <w:rsid w:val="00DF6898"/>
    <w:rsid w:val="00DF7BB9"/>
    <w:rsid w:val="00E10709"/>
    <w:rsid w:val="00E32E8C"/>
    <w:rsid w:val="00E56A24"/>
    <w:rsid w:val="00E61496"/>
    <w:rsid w:val="00E6636B"/>
    <w:rsid w:val="00E849A1"/>
    <w:rsid w:val="00E9172B"/>
    <w:rsid w:val="00ED0653"/>
    <w:rsid w:val="00ED3ECB"/>
    <w:rsid w:val="00EE157A"/>
    <w:rsid w:val="00EE3BF2"/>
    <w:rsid w:val="00F15708"/>
    <w:rsid w:val="00F305DC"/>
    <w:rsid w:val="00F3408E"/>
    <w:rsid w:val="00F36A0A"/>
    <w:rsid w:val="00F6423C"/>
    <w:rsid w:val="00F76EF2"/>
    <w:rsid w:val="00F83515"/>
    <w:rsid w:val="00FB5D2F"/>
    <w:rsid w:val="00FD7D72"/>
    <w:rsid w:val="00FE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ECF34-ED40-4A2A-9E17-EC4EED59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E2926"/>
    <w:rPr>
      <w:rFonts w:ascii="Times New Roman" w:eastAsia="Times New Roman" w:hAnsi="Times New Roman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E2926"/>
    <w:pPr>
      <w:keepNext/>
      <w:jc w:val="center"/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E2926"/>
    <w:pPr>
      <w:spacing w:before="100" w:beforeAutospacing="1" w:after="100" w:afterAutospacing="1"/>
    </w:pPr>
  </w:style>
  <w:style w:type="character" w:customStyle="1" w:styleId="Titolo5Carattere">
    <w:name w:val="Titolo 5 Carattere"/>
    <w:link w:val="Titolo5"/>
    <w:uiPriority w:val="99"/>
    <w:rsid w:val="00BE29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uiPriority w:val="99"/>
    <w:qFormat/>
    <w:rsid w:val="00BE292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A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2AF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185B67"/>
    <w:rPr>
      <w:color w:val="0000FF"/>
      <w:u w:val="single"/>
    </w:rPr>
  </w:style>
  <w:style w:type="paragraph" w:customStyle="1" w:styleId="Default">
    <w:name w:val="Default"/>
    <w:rsid w:val="00185B6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8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B080-24E2-4730-8AA0-A4392B2E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 MOLISE</dc:creator>
  <cp:lastModifiedBy>Doriana Medici</cp:lastModifiedBy>
  <cp:revision>2</cp:revision>
  <dcterms:created xsi:type="dcterms:W3CDTF">2020-05-09T08:54:00Z</dcterms:created>
  <dcterms:modified xsi:type="dcterms:W3CDTF">2020-05-09T08:54:00Z</dcterms:modified>
</cp:coreProperties>
</file>